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10.png" ContentType="image/png"/>
  <Override PartName="/word/media/rId106.png" ContentType="image/png"/>
  <Override PartName="/word/media/rId27.png" ContentType="image/png"/>
  <Override PartName="/word/media/rId125.png" ContentType="image/png"/>
  <Override PartName="/word/media/rId122.png" ContentType="image/png"/>
  <Override PartName="/word/media/rId9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27-05-2024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1"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remediation and barrier prevention.</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fish. The planning process is inspired by the Conservation Standards (v.4.0), which is a conservation planning framework that allows planning teams to systematically identify, implement, and monitor strategies to apply the most effective solutions to high-priority conservation problems.</w:t>
      </w:r>
      <w:r>
        <w:t xml:space="preserve"> </w:t>
      </w:r>
      <w:r>
        <w:t xml:space="preserve">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 Elk Valley Cumulative Effects Management Framework, the Elk Valley Fish and Fish Habitat Committee, and the Elk River Watershed Collaborative Monitoring Program.</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an intermediate list of barriers for remediation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remediation for fish in the Elk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6"/>
    <w:bookmarkStart w:id="36"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remediated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4879361" cy="4741048"/>
                  <wp:effectExtent b="0" l="0" r="0" t="0"/>
                  <wp:docPr descr="" title="" id="28" name="Picture"/>
                  <a:graphic>
                    <a:graphicData uri="http://schemas.openxmlformats.org/drawingml/2006/picture">
                      <pic:pic>
                        <pic:nvPicPr>
                          <pic:cNvPr descr="content/images/geo-scope-elkr.png" id="29" name="Picture"/>
                          <pic:cNvPicPr>
                            <a:picLocks noChangeArrowheads="1" noChangeAspect="1"/>
                          </pic:cNvPicPr>
                        </pic:nvPicPr>
                        <pic:blipFill>
                          <a:blip r:embed="rId27"/>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0"/>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 British Columbia Freshwater Atlas (FWA),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w:t>
      </w:r>
      <w:r>
        <w:t xml:space="preserve"> </w:t>
      </w:r>
      <w:r>
        <w:t xml:space="preserve">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remediate.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potentially accessible</w:t>
      </w:r>
      <w:r>
        <w:t xml:space="preserve">”</w:t>
      </w:r>
      <w:r>
        <w:t xml:space="preserve"> </w:t>
      </w:r>
      <w:r>
        <w:t xml:space="preserve">stream segments,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Potentially accessible stream segments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potentially accessible stream segments.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bookmarkStart w:id="31"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1"/>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5" w:name="fig-strseg"/>
          <w:p>
            <w:pPr>
              <w:jc w:val="center"/>
            </w:pPr>
            <w:r>
              <w:drawing>
                <wp:inline>
                  <wp:extent cx="5017673" cy="4956201"/>
                  <wp:effectExtent b="0" l="0" r="0" t="0"/>
                  <wp:docPr descr="" title="" id="33" name="Picture"/>
                  <a:graphic>
                    <a:graphicData uri="http://schemas.openxmlformats.org/drawingml/2006/picture">
                      <pic:pic>
                        <pic:nvPicPr>
                          <pic:cNvPr descr="content/images/accessible-streams-elkr.png" id="34" name="Picture"/>
                          <pic:cNvPicPr>
                            <a:picLocks noChangeArrowheads="1" noChangeAspect="1"/>
                          </pic:cNvPicPr>
                        </pic:nvPicPr>
                        <pic:blipFill>
                          <a:blip r:embed="rId32"/>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5"/>
        </w:tc>
      </w:tr>
    </w:tbl>
    <w:bookmarkEnd w:id="36"/>
    <w:bookmarkStart w:id="40"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Elk River watershed, the planning team selected Westslope Cutthroat Trout as the target species. The selection of this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39"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37"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37"/>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38"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38"/>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2"/>
        </w:numPr>
      </w:pPr>
      <w:r>
        <w:t xml:space="preserve">Stream-resident — individuals spend their entire life history within a restricted distribution of headwater streams, often because movement is restricted by natural barriers.</w:t>
      </w:r>
    </w:p>
    <w:p>
      <w:pPr>
        <w:numPr>
          <w:ilvl w:val="0"/>
          <w:numId w:val="1002"/>
        </w:numPr>
      </w:pPr>
      <w:r>
        <w:t xml:space="preserve">Fluvial — individuals migrate between tributaries and larger mainstem rivers to complete various life-history stages (e.g., spawning, overwintering).</w:t>
      </w:r>
    </w:p>
    <w:p>
      <w:pPr>
        <w:numPr>
          <w:ilvl w:val="0"/>
          <w:numId w:val="1002"/>
        </w:numPr>
      </w:pPr>
      <w:r>
        <w:t xml:space="preserve">Adfluvial — individuals migrate between tributaries and lakes/reservoirs to complete life-history stages.</w:t>
      </w:r>
      <w:r>
        <w:t xml:space="preserve"> </w:t>
      </w:r>
      <w:r>
        <w:t xml:space="preserve">See Appendix A for maps of modelled Westslope Cutthroat Trout habitat in the Elk River watershed.</w:t>
      </w:r>
    </w:p>
    <w:bookmarkEnd w:id="39"/>
    <w:bookmarkEnd w:id="40"/>
    <w:bookmarkStart w:id="50"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2" w:name="tbl-barriertype"/>
    <w:bookmarkStart w:id="41" w:name="T_e219b"/>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1"/>
    <w:bookmarkEnd w:id="42"/>
    <w:bookmarkStart w:id="43" w:name="dams"/>
    <w:p>
      <w:pPr>
        <w:pStyle w:val="Heading3"/>
      </w:pPr>
      <w:r>
        <w:t xml:space="preserve">Dams</w:t>
      </w:r>
    </w:p>
    <w:p>
      <w:pPr>
        <w:pStyle w:val="FirstParagraph"/>
      </w:pPr>
      <w:r>
        <w:t xml:space="preserve">There are 9 mapped dams on potential habitat in the watershed, blocking685.19 km (39.06%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remediate to benefit a genetically pure Westslope Cutthroat Trout population in the Grave-Harmer system, and Teck Resources Ltd. is currently undertaking an assessment process to evaluate potential remediation options (W. Franklin, Teck Resources Ltd., pers. comm.). There are no known fishways in the watershed, and the identified dams likely block passage for Westslope Cutthroat Trout. Due to the significant resources required to remediate dams and the Low extent of dams in the watershed, a final pressure rating of Low was assigned.</w:t>
      </w:r>
    </w:p>
    <w:bookmarkEnd w:id="43"/>
    <w:bookmarkStart w:id="44"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(~39% of the total blocked habitat), with 78% of assessed crossings having been identified as barriers to fish passage. Resource roads potentially block 685.19 km of habitat (~39%), with 78%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44"/>
    <w:bookmarkStart w:id="45"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remediate these barriers, the planning team decided on an overall pressure rating of Medium for this barrier type.</w:t>
      </w:r>
    </w:p>
    <w:bookmarkEnd w:id="45"/>
    <w:bookmarkStart w:id="46"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remediation costs associated with these barriers would be quite low. Overall, the planning team felt that the pressure rating for trail-stream crossings was likely Low.</w:t>
      </w:r>
    </w:p>
    <w:bookmarkEnd w:id="46"/>
    <w:bookmarkStart w:id="47"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47"/>
    <w:bookmarkStart w:id="48"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48"/>
    <w:bookmarkStart w:id="49"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remediate when they occur. Overall, the planning team felt that a Low rating adequately captured the effects of landslides, but felt that it was an important barrier type to identify in this WCRP.</w:t>
      </w:r>
    </w:p>
    <w:bookmarkEnd w:id="49"/>
    <w:bookmarkEnd w:id="50"/>
    <w:bookmarkEnd w:id="51"/>
    <w:bookmarkStart w:id="59" w:name="connectivity-status-assessment-and-goals"/>
    <w:p>
      <w:pPr>
        <w:pStyle w:val="Heading1"/>
      </w:pPr>
      <w:r>
        <w:t xml:space="preserve">Connectivity Status Assessment and Goals</w:t>
      </w:r>
    </w:p>
    <w:bookmarkStart w:id="55"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3" w:name="tbl-connectivity"/>
    <w:bookmarkStart w:id="52" w:name="T_a432e"/>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0</w:t>
            </w:r>
          </w:p>
        </w:tc>
      </w:tr>
    </w:tbl>
    <w:bookmarkEnd w:id="52"/>
    <w:bookmarkEnd w:id="53"/>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Start w:id="54" w:name="T_96025"/>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downstream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0</w:t>
            </w:r>
          </w:p>
        </w:tc>
      </w:tr>
    </w:tbl>
    <w:bookmarkEnd w:id="54"/>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5"/>
    <w:bookmarkStart w:id="58" w:name="goals"/>
    <w:p>
      <w:pPr>
        <w:pStyle w:val="Heading2"/>
      </w:pPr>
      <w:r>
        <w:t xml:space="preserve">Goals</w:t>
      </w:r>
    </w:p>
    <w:bookmarkStart w:id="57" w:name="tbl-goals"/>
    <w:bookmarkStart w:id="56" w:name="T_e670f"/>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69% to 83% above the Elko Dam (i.e., reconnect at least 142 km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30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3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6"/>
    <w:bookmarkEnd w:id="57"/>
    <w:bookmarkEnd w:id="58"/>
    <w:bookmarkEnd w:id="59"/>
    <w:bookmarkStart w:id="68" w:name="barrier-prioritization"/>
    <w:p>
      <w:pPr>
        <w:pStyle w:val="Heading1"/>
      </w:pPr>
      <w:r>
        <w:t xml:space="preserve">Barrier Prioritization</w:t>
      </w:r>
    </w:p>
    <w:bookmarkStart w:id="67" w:name="X7281f1b5f950e1288f73dd9e40a50ec429b4e6e"/>
    <w:p>
      <w:pPr>
        <w:pStyle w:val="Heading2"/>
      </w:pPr>
      <w:r>
        <w:t xml:space="preserve">Horsefly River Watershed Barrier Prioritization Summary</w:t>
      </w:r>
    </w:p>
    <w:p>
      <w:pPr>
        <w:pStyle w:val="FirstParagraph"/>
      </w:pPr>
      <w:r>
        <w:t xml:space="preserve">The primary conservation outcome of the WCRP is the remediation of barriers to connectivity in the Elk River watershed. To achieve the 2041 connectivity goals in this plan (Goals 2 and 4), it is necessary to prioritize and identify a suite of barriers for both the Upstream of Elko Dam and Downstream of Elko Dam units that, if remediated, will provide access to a minimum of 142 km of habitat and 3 km of habitat, respectively (</w:t>
      </w:r>
      <w:hyperlink w:anchor="tbl-connectivity">
        <w:r>
          <w:rPr>
            <w:rStyle w:val="Hyperlink"/>
          </w:rPr>
          <w:t xml:space="preserve">Table 4</w:t>
        </w:r>
      </w:hyperlink>
      <w:r>
        <w:t xml:space="preserve">).</w:t>
      </w:r>
    </w:p>
    <w:bookmarkStart w:id="61" w:name="tbl-connectivity"/>
    <w:bookmarkStart w:id="60" w:name="T_153c4"/>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0</w:t>
            </w:r>
          </w:p>
        </w:tc>
        <w:tc>
          <w:tcPr/>
          <w:p>
            <w:pPr>
              <w:pStyle w:val="Compact"/>
              <w:jc w:val="left"/>
            </w:pPr>
            <w:r>
              <w:t xml:space="preserve">1754.03</w:t>
            </w:r>
          </w:p>
        </w:tc>
        <w:tc>
          <w:tcPr/>
          <w:p>
            <w:pPr>
              <w:pStyle w:val="Compact"/>
              <w:jc w:val="left"/>
            </w:pPr>
            <w:r>
              <w:t xml:space="preserve">0%</w:t>
            </w:r>
          </w:p>
        </w:tc>
        <w:tc>
          <w:tcPr/>
          <w:p>
            <w:pPr>
              <w:pStyle w:val="Compact"/>
              <w:jc w:val="left"/>
            </w:pPr>
            <w:r>
              <w:t xml:space="preserve">96%</w:t>
            </w:r>
          </w:p>
        </w:tc>
        <w:tc>
          <w:tcPr/>
          <w:p>
            <w:pPr>
              <w:pStyle w:val="Compact"/>
              <w:jc w:val="left"/>
            </w:pPr>
            <w:r>
              <w:t xml:space="preserve">1683.87</w:t>
            </w:r>
          </w:p>
        </w:tc>
      </w:tr>
      <w:tr>
        <w:tc>
          <w:tcPr/>
          <w:p>
            <w:pPr>
              <w:pStyle w:val="Compact"/>
              <w:jc w:val="left"/>
            </w:pPr>
            <w:r>
              <w:t xml:space="preserve">Downstream of Elko Dam</w:t>
            </w: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60"/>
    <w:bookmarkEnd w:id="61"/>
    <w:p>
      <w:pPr>
        <w:pStyle w:val="BodyText"/>
      </w:pPr>
      <w:r>
        <w:t xml:space="preserve">The barrier prioritization process comprises three stages:</w:t>
      </w:r>
    </w:p>
    <w:p>
      <w:pPr>
        <w:numPr>
          <w:ilvl w:val="0"/>
          <w:numId w:val="1003"/>
        </w:numPr>
      </w:pPr>
      <w:r>
        <w:t xml:space="preserve">Stage 1: preliminary barrier list</w:t>
      </w:r>
    </w:p>
    <w:p>
      <w:pPr>
        <w:numPr>
          <w:ilvl w:val="0"/>
          <w:numId w:val="1003"/>
        </w:numPr>
      </w:pPr>
      <w:r>
        <w:t xml:space="preserve">Stage 2: intermediate barrier list</w:t>
      </w:r>
    </w:p>
    <w:p>
      <w:pPr>
        <w:numPr>
          <w:ilvl w:val="0"/>
          <w:numId w:val="1003"/>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w:t>
      </w:r>
      <w:r>
        <w:t xml:space="preserve"> </w:t>
      </w:r>
      <w:r>
        <w:t xml:space="preserve">Additionally, the habitat model identifies stream segmentsthat have the potential to support spawning or rearing habitat for target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remediation. For more details on the barrier prioritization model, please see</w:t>
      </w:r>
      <w:r>
        <w:t xml:space="preserve"> </w:t>
      </w:r>
      <w:r>
        <w:t xml:space="preserve">Mazany-Wright, Norris, et al. (2021a)</w:t>
      </w:r>
      <w:r>
        <w:t xml:space="preserve">.</w:t>
      </w:r>
    </w:p>
    <w:bookmarkStart w:id="62"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2"/>
    <w:bookmarkStart w:id="63"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3"/>
    <w:bookmarkStart w:id="64"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p>
      <w:pPr>
        <w:pStyle w:val="BodyText"/>
      </w:pPr>
      <w:r>
        <w:t xml:space="preserve">There are currently 4 barriers on the priority barrier list, which will be pursued for proactive remediation to achieve the connectivity goals in this plan:</w:t>
      </w:r>
    </w:p>
    <w:bookmarkStart w:id="66"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4250"/>
        <w:gridCol w:w="2612"/>
        <w:gridCol w:w="5045"/>
        <w:gridCol w:w="2734"/>
        <w:gridCol w:w="2416"/>
        <w:gridCol w:w="1756"/>
        <w:gridCol w:w="3504"/>
        <w:gridCol w:w="4776"/>
        <w:gridCol w:w="2367"/>
        <w:gridCol w:w="1061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 (1004600762)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Ministry of Transportation and Infrastructure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with MOTI</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197825 (1004604677)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Stove Creek (Tributary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 based onconfirmed high quality habitat upstream of 62416</w:t>
            </w:r>
          </w:p>
        </w:tc>
      </w:tr>
      <w:tr>
        <w:trPr>
          <w:trHeight w:val="574"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End w:id="67"/>
    <w:bookmarkEnd w:id="68"/>
    <w:bookmarkStart w:id="74" w:name="work-planning"/>
    <w:p>
      <w:pPr>
        <w:pStyle w:val="Heading1"/>
      </w:pPr>
      <w:r>
        <w:t xml:space="preserve">Work Planning</w:t>
      </w:r>
    </w:p>
    <w:bookmarkStart w:id="69" w:name="annual-progress-report"/>
    <w:p>
      <w:pPr>
        <w:pStyle w:val="Heading2"/>
      </w:pPr>
      <w:r>
        <w:t xml:space="preserve">Annual Progress Report</w:t>
      </w:r>
    </w:p>
    <w:bookmarkEnd w:id="69"/>
    <w:bookmarkStart w:id="72"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1" w:name="tbl-opplan"/>
    <w:bookmarkStart w:id="70" w:name="T_2d0c6"/>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0"/>
    <w:bookmarkEnd w:id="71"/>
    <w:bookmarkEnd w:id="72"/>
    <w:bookmarkStart w:id="73" w:name="annual-work-plan"/>
    <w:p>
      <w:pPr>
        <w:pStyle w:val="Heading2"/>
      </w:pPr>
      <w:r>
        <w:t xml:space="preserve">Annual Work Plan</w:t>
      </w:r>
    </w:p>
    <w:bookmarkEnd w:id="73"/>
    <w:bookmarkEnd w:id="74"/>
    <w:bookmarkStart w:id="88" w:name="references"/>
    <w:p>
      <w:pPr>
        <w:pStyle w:val="Heading1"/>
      </w:pPr>
      <w:r>
        <w:t xml:space="preserve">References</w:t>
      </w:r>
    </w:p>
    <w:bookmarkStart w:id="87" w:name="refs"/>
    <w:bookmarkStart w:id="75"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75"/>
    <w:bookmarkStart w:id="76"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76"/>
    <w:bookmarkStart w:id="77"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77"/>
    <w:bookmarkStart w:id="78"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78"/>
    <w:bookmarkStart w:id="79"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79"/>
    <w:bookmarkStart w:id="80"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0"/>
    <w:bookmarkStart w:id="81"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1"/>
    <w:bookmarkStart w:id="82"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2"/>
    <w:bookmarkStart w:id="83"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83"/>
    <w:bookmarkStart w:id="84"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4"/>
    <w:bookmarkStart w:id="85"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85"/>
    <w:bookmarkStart w:id="86"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86"/>
    <w:bookmarkEnd w:id="87"/>
    <w:bookmarkEnd w:id="88"/>
    <w:bookmarkStart w:id="90" w:name="version-history"/>
    <w:p>
      <w:pPr>
        <w:pStyle w:val="Heading1"/>
      </w:pPr>
      <w:r>
        <w:t xml:space="preserve">Version History</w:t>
      </w:r>
    </w:p>
    <w:p>
      <w:pPr>
        <w:pStyle w:val="FirstParagraph"/>
      </w:pPr>
      <w:hyperlink r:id="rId89">
        <w:r>
          <w:rPr>
            <w:rStyle w:val="Hyperlink"/>
          </w:rPr>
          <w:t xml:space="preserve">v.1.0 – March 2024</w:t>
        </w:r>
      </w:hyperlink>
    </w:p>
    <w:bookmarkEnd w:id="90"/>
    <w:bookmarkStart w:id="93" w:name="project-partners"/>
    <w:p>
      <w:pPr>
        <w:pStyle w:val="Heading1"/>
      </w:pPr>
      <w:r>
        <w:t xml:space="preserve">Project Partners</w:t>
      </w:r>
    </w:p>
    <w:bookmarkStart w:id="92"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91"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91"/>
    <w:bookmarkEnd w:id="92"/>
    <w:bookmarkEnd w:id="93"/>
    <w:bookmarkStart w:id="121" w:name="supplementary-information"/>
    <w:p>
      <w:pPr>
        <w:pStyle w:val="Heading1"/>
      </w:pPr>
      <w:r>
        <w:t xml:space="preserve">Supplementary Information</w:t>
      </w:r>
    </w:p>
    <w:bookmarkStart w:id="98"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97" w:name="fig-sitan"/>
          <w:p>
            <w:pPr>
              <w:jc w:val="center"/>
            </w:pPr>
            <w:r>
              <w:drawing>
                <wp:inline>
                  <wp:extent cx="5334000" cy="3224508"/>
                  <wp:effectExtent b="0" l="0" r="0" t="0"/>
                  <wp:docPr descr="" title="" id="95" name="Picture"/>
                  <a:graphic>
                    <a:graphicData uri="http://schemas.openxmlformats.org/drawingml/2006/picture">
                      <pic:pic>
                        <pic:nvPicPr>
                          <pic:cNvPr descr="content/images/situation-analysis.png" id="96" name="Picture"/>
                          <pic:cNvPicPr>
                            <a:picLocks noChangeArrowheads="1" noChangeAspect="1"/>
                          </pic:cNvPicPr>
                        </pic:nvPicPr>
                        <pic:blipFill>
                          <a:blip r:embed="rId94"/>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97"/>
        </w:tc>
      </w:tr>
    </w:tbl>
    <w:bookmarkEnd w:id="98"/>
    <w:bookmarkStart w:id="9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remediation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99"/>
    <w:bookmarkStart w:id="102" w:name="strategy-1-barrier-redmediation"/>
    <w:p>
      <w:pPr>
        <w:pStyle w:val="Heading2"/>
      </w:pPr>
      <w:r>
        <w:t xml:space="preserve">Strategy 1: Barrier Redmediation</w:t>
      </w:r>
    </w:p>
    <w:bookmarkStart w:id="101" w:name="tbl-S1"/>
    <w:bookmarkStart w:id="100" w:name="T_e6a91"/>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Remediate major infrastructure crossings</w:t>
            </w:r>
          </w:p>
        </w:tc>
        <w:tc>
          <w:tcPr/>
          <w:p>
            <w:pPr>
              <w:pStyle w:val="Compact"/>
              <w:jc w:val="left"/>
            </w:pPr>
            <w:r>
              <w:t xml:space="preserve">In most cases, the planning team will engage with barrier owners, but the owners of the barrier would be responsible for the financial cost of remediation. This includes building relationships with CP rail to open a two-way discussion on the scale, priority, and impact to their crossings on the watershed. Include the financial and ecological cost/benefits of remediation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remediate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remediate barriers (ownership dependent)</w:t>
            </w:r>
          </w:p>
        </w:tc>
        <w:tc>
          <w:tcPr/>
          <w:p>
            <w:pPr>
              <w:pStyle w:val="Compact"/>
              <w:jc w:val="left"/>
            </w:pPr>
            <w:r>
              <w:t xml:space="preserve">Where appropriate, collaborate within the planning team to raise conservation funds for remediation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remediation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remediation projects</w:t>
            </w:r>
          </w:p>
        </w:tc>
        <w:tc>
          <w:tcPr/>
          <w:p>
            <w:pPr>
              <w:pStyle w:val="Compact"/>
              <w:jc w:val="left"/>
            </w:pPr>
            <w:r>
              <w:t xml:space="preserve">Effectiveness monitoring study design (Lotic) for remediation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00"/>
    <w:bookmarkEnd w:id="101"/>
    <w:bookmarkEnd w:id="102"/>
    <w:bookmarkStart w:id="105" w:name="strategy-2-barrier-prevention"/>
    <w:p>
      <w:pPr>
        <w:pStyle w:val="Heading2"/>
      </w:pPr>
      <w:r>
        <w:t xml:space="preserve">Strategy 2: Barrier Prevention</w:t>
      </w:r>
    </w:p>
    <w:bookmarkStart w:id="104" w:name="tbl-S2"/>
    <w:bookmarkStart w:id="103" w:name="T_65233"/>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03"/>
    <w:bookmarkEnd w:id="104"/>
    <w:bookmarkEnd w:id="105"/>
    <w:bookmarkStart w:id="114"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09" w:name="fig-stra1"/>
          <w:p>
            <w:pPr>
              <w:jc w:val="center"/>
            </w:pPr>
            <w:r>
              <w:drawing>
                <wp:inline>
                  <wp:extent cx="5334000" cy="3457025"/>
                  <wp:effectExtent b="0" l="0" r="0" t="0"/>
                  <wp:docPr descr="" title="" id="107" name="Picture"/>
                  <a:graphic>
                    <a:graphicData uri="http://schemas.openxmlformats.org/drawingml/2006/picture">
                      <pic:pic>
                        <pic:nvPicPr>
                          <pic:cNvPr descr="content/images/flowchart-barrier-rem.png" id="108" name="Picture"/>
                          <pic:cNvPicPr>
                            <a:picLocks noChangeArrowheads="1" noChangeAspect="1"/>
                          </pic:cNvPicPr>
                        </pic:nvPicPr>
                        <pic:blipFill>
                          <a:blip r:embed="rId106"/>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Elk River watershed.</w:t>
            </w:r>
          </w:p>
          <w:bookmarkEnd w:id="10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3" w:name="fig-stra2"/>
          <w:p>
            <w:pPr>
              <w:jc w:val="center"/>
            </w:pPr>
            <w:r>
              <w:drawing>
                <wp:inline>
                  <wp:extent cx="5334000" cy="2722617"/>
                  <wp:effectExtent b="0" l="0" r="0" t="0"/>
                  <wp:docPr descr="" title="" id="111" name="Picture"/>
                  <a:graphic>
                    <a:graphicData uri="http://schemas.openxmlformats.org/drawingml/2006/picture">
                      <pic:pic>
                        <pic:nvPicPr>
                          <pic:cNvPr descr="content/images/flowchart-barrier-prevention.png" id="112" name="Picture"/>
                          <pic:cNvPicPr>
                            <a:picLocks noChangeArrowheads="1" noChangeAspect="1"/>
                          </pic:cNvPicPr>
                        </pic:nvPicPr>
                        <pic:blipFill>
                          <a:blip r:embed="rId110"/>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13"/>
        </w:tc>
      </w:tr>
    </w:tbl>
    <w:bookmarkEnd w:id="114"/>
    <w:bookmarkStart w:id="117"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16" w:name="tbl-opplan"/>
    <w:bookmarkStart w:id="115" w:name="T_9503b"/>
    <w:p>
      <w:pPr>
        <w:pStyle w:val="TableCaption"/>
      </w:pPr>
      <w:r>
        <w:t xml:space="preserve">Table 8: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15"/>
    <w:bookmarkEnd w:id="116"/>
    <w:bookmarkEnd w:id="117"/>
    <w:bookmarkStart w:id="120" w:name="funding-sources"/>
    <w:p>
      <w:pPr>
        <w:pStyle w:val="Heading2"/>
      </w:pPr>
      <w:r>
        <w:t xml:space="preserve">Funding Sources</w:t>
      </w:r>
    </w:p>
    <w:bookmarkStart w:id="118"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126"/>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remediation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remediation (2019-2020, 2020-2021, 2021-2022, 2022-2023)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r>
        <w:trPr>
          <w:trHeight w:val="41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18"/>
    <w:bookmarkStart w:id="119"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19"/>
    <w:bookmarkEnd w:id="120"/>
    <w:bookmarkEnd w:id="121"/>
    <w:bookmarkStart w:id="132" w:name="data-download-and-methods"/>
    <w:p>
      <w:pPr>
        <w:pStyle w:val="Heading1"/>
      </w:pPr>
      <w:r>
        <w:t xml:space="preserve">Data Download and Methods</w:t>
      </w:r>
    </w:p>
    <w:bookmarkStart w:id="129" w:name="Xd13a62b82fe9d04e3f58139194bf46110bbe92f"/>
    <w:p>
      <w:pPr>
        <w:pStyle w:val="Heading2"/>
      </w:pPr>
      <w:r>
        <w:t xml:space="preserve">Elk River Watershed Habitat and Barrier Maps</w:t>
      </w:r>
    </w:p>
    <w:p>
      <w:pPr>
        <w:pStyle w:val="FirstParagraph"/>
      </w:pPr>
      <w:r>
        <w:t xml:space="preserve">High-resolution PDF maps of the Elk River watershed and model results can be accessed here. The watershed is divided into multiple map sheets to allow for detailed examination of modelled habitat and priority barriers identified through this planning process. The locations of WCRP priority barriers and associated map sheet numbers are shown below. In each individual map sheet, priority barriers are symbolized using the following notation:</w:t>
      </w:r>
      <w:r>
        <w:t xml:space="preserve"> </w:t>
      </w:r>
      <w:r>
        <w:drawing>
          <wp:inline>
            <wp:extent cx="1790379" cy="315045"/>
            <wp:effectExtent b="0" l="0" r="0" t="0"/>
            <wp:docPr descr="label" title="" id="123" name="Picture"/>
            <a:graphic>
              <a:graphicData uri="http://schemas.openxmlformats.org/drawingml/2006/picture">
                <pic:pic>
                  <pic:nvPicPr>
                    <pic:cNvPr descr="content/images/priority-crossing-label.png" id="124" name="Picture"/>
                    <pic:cNvPicPr>
                      <a:picLocks noChangeArrowheads="1" noChangeAspect="1"/>
                    </pic:cNvPicPr>
                  </pic:nvPicPr>
                  <pic:blipFill>
                    <a:blip r:embed="rId122"/>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28" w:name="fig-over"/>
          <w:p>
            <w:pPr>
              <w:jc w:val="center"/>
            </w:pPr>
            <w:r>
              <w:drawing>
                <wp:inline>
                  <wp:extent cx="5334000" cy="4925060"/>
                  <wp:effectExtent b="0" l="0" r="0" t="0"/>
                  <wp:docPr descr="" title="" id="126" name="Picture"/>
                  <a:graphic>
                    <a:graphicData uri="http://schemas.openxmlformats.org/drawingml/2006/picture">
                      <pic:pic>
                        <pic:nvPicPr>
                          <pic:cNvPr descr="content/images/overview-map-elkr.png" id="127" name="Picture"/>
                          <pic:cNvPicPr>
                            <a:picLocks noChangeArrowheads="1" noChangeAspect="1"/>
                          </pic:cNvPicPr>
                        </pic:nvPicPr>
                        <pic:blipFill>
                          <a:blip r:embed="rId125"/>
                          <a:stretch>
                            <a:fillRect/>
                          </a:stretch>
                        </pic:blipFill>
                        <pic:spPr bwMode="auto">
                          <a:xfrm>
                            <a:off x="0" y="0"/>
                            <a:ext cx="5334000" cy="4925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Elk River watershed overview map identifying the portions of the watershed covered by each map sheet (grey squares) and the prioritized barriers on the intermediate barrier list (orange points; see Appendix C).</w:t>
            </w:r>
          </w:p>
          <w:bookmarkEnd w:id="128"/>
        </w:tc>
      </w:tr>
    </w:tbl>
    <w:bookmarkEnd w:id="129"/>
    <w:bookmarkStart w:id="131"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remediation that will reconnect tributaries to the existing longest fragments see</w:t>
      </w:r>
      <w:r>
        <w:t xml:space="preserve"> </w:t>
      </w:r>
      <w:hyperlink w:anchor="barrier-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target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30"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2090"/>
        <w:gridCol w:w="4446"/>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57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27" Target="media/rId27.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94" Target="media/rId94.png" /><Relationship Type="http://schemas.openxmlformats.org/officeDocument/2006/relationships/image" Id="rId20" Target="media/rId20.jpg" /><Relationship Type="http://schemas.openxmlformats.org/officeDocument/2006/relationships/hyperlink" Id="rId89" Target="https://v1-0--horsefly-wcrp.netlify.app/"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89" Target="https://v1-0--horsefly-wcrp.netlify.app/"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Remediation Plan: 2021 - 2041</dc:title>
  <dc:creator>Canadian Wildlife Federation</dc:creator>
  <cp:keywords/>
  <dcterms:created xsi:type="dcterms:W3CDTF">2024-05-27T19:22:39Z</dcterms:created>
  <dcterms:modified xsi:type="dcterms:W3CDTF">2024-05-27T19:22:39Z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27-05-2024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